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0B" w:rsidRPr="00CB240B" w:rsidRDefault="00CB240B" w:rsidP="00CB240B">
      <w:pPr>
        <w:jc w:val="center"/>
        <w:rPr>
          <w:b/>
          <w:bCs/>
        </w:rPr>
      </w:pPr>
      <w:r w:rsidRPr="00CB240B">
        <w:rPr>
          <w:b/>
          <w:bCs/>
        </w:rPr>
        <w:t>Centre for Medieval and Renaissance Culture</w:t>
      </w:r>
    </w:p>
    <w:p w:rsidR="00CB240B" w:rsidRPr="00CB240B" w:rsidRDefault="00CB240B" w:rsidP="00CB240B">
      <w:pPr>
        <w:jc w:val="center"/>
        <w:rPr>
          <w:b/>
          <w:bCs/>
        </w:rPr>
      </w:pPr>
      <w:r w:rsidRPr="00CB240B">
        <w:rPr>
          <w:b/>
          <w:bCs/>
        </w:rPr>
        <w:t>Research Day, 21 January 2015</w:t>
      </w:r>
    </w:p>
    <w:p w:rsidR="00CB240B" w:rsidRDefault="00CB240B" w:rsidP="00CB240B">
      <w:pPr>
        <w:jc w:val="center"/>
      </w:pPr>
      <w:r w:rsidRPr="00CB240B">
        <w:rPr>
          <w:b/>
          <w:bCs/>
        </w:rPr>
        <w:t>Building 65/1173</w:t>
      </w:r>
    </w:p>
    <w:p w:rsidR="00CB240B" w:rsidRPr="00CB240B" w:rsidRDefault="00CB240B" w:rsidP="00CB240B">
      <w:pPr>
        <w:jc w:val="center"/>
        <w:rPr>
          <w:b/>
          <w:bCs/>
        </w:rPr>
      </w:pPr>
      <w:r w:rsidRPr="00CB240B">
        <w:rPr>
          <w:b/>
          <w:bCs/>
        </w:rPr>
        <w:t>Conflict</w:t>
      </w:r>
    </w:p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0945</w:t>
      </w:r>
      <w:r w:rsidRPr="00CB240B">
        <w:rPr>
          <w:b/>
          <w:bCs/>
        </w:rPr>
        <w:tab/>
        <w:t>Introduction</w:t>
      </w:r>
    </w:p>
    <w:p w:rsidR="00CB240B" w:rsidRDefault="00CB240B" w:rsidP="00CB240B">
      <w:pPr>
        <w:ind w:left="720" w:hanging="720"/>
      </w:pPr>
      <w:proofErr w:type="gramStart"/>
      <w:r>
        <w:t>•</w:t>
      </w:r>
      <w:r>
        <w:tab/>
      </w:r>
      <w:proofErr w:type="spellStart"/>
      <w:r>
        <w:t>Rémy</w:t>
      </w:r>
      <w:proofErr w:type="spellEnd"/>
      <w:r>
        <w:t xml:space="preserve"> </w:t>
      </w:r>
      <w:proofErr w:type="spellStart"/>
      <w:r>
        <w:t>Ambühl</w:t>
      </w:r>
      <w:proofErr w:type="spellEnd"/>
      <w:r>
        <w:t xml:space="preserve">, ‘Looking for the first </w:t>
      </w:r>
      <w:proofErr w:type="spellStart"/>
      <w:r>
        <w:t>prisonniers</w:t>
      </w:r>
      <w:proofErr w:type="spellEnd"/>
      <w:r>
        <w:t xml:space="preserve"> de guerre.</w:t>
      </w:r>
      <w:proofErr w:type="gramEnd"/>
      <w:r>
        <w:t xml:space="preserve">  The Hundred Years War and </w:t>
      </w:r>
      <w:r>
        <w:t>b</w:t>
      </w:r>
      <w:r>
        <w:t>eyond’</w:t>
      </w:r>
    </w:p>
    <w:p w:rsidR="00CB240B" w:rsidRDefault="00CB240B" w:rsidP="00CB240B">
      <w:pPr>
        <w:ind w:left="720" w:hanging="720"/>
      </w:pPr>
      <w:bookmarkStart w:id="0" w:name="_GoBack"/>
      <w:r>
        <w:t>•</w:t>
      </w:r>
      <w:r>
        <w:tab/>
        <w:t>Andy King, ‘“War”, “rebellion” or “perilous times”? Contemporary perceptions of the conflict in England, 1321-2’</w:t>
      </w:r>
    </w:p>
    <w:bookmarkEnd w:id="0"/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1100-1115</w:t>
      </w:r>
      <w:r w:rsidRPr="00CB240B">
        <w:rPr>
          <w:b/>
          <w:bCs/>
        </w:rPr>
        <w:tab/>
        <w:t>Coffee</w:t>
      </w:r>
    </w:p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1115-1245</w:t>
      </w:r>
    </w:p>
    <w:p w:rsidR="00CB240B" w:rsidRDefault="00CB240B" w:rsidP="00CB240B">
      <w:r>
        <w:t>•</w:t>
      </w:r>
      <w:r>
        <w:tab/>
        <w:t>Craig Lambert, ‘</w:t>
      </w:r>
      <w:proofErr w:type="gramStart"/>
      <w:r>
        <w:t>Naval</w:t>
      </w:r>
      <w:proofErr w:type="gramEnd"/>
      <w:r>
        <w:t xml:space="preserve"> service and the Cinque Ports, 1320-1453: a reappraisal’</w:t>
      </w:r>
    </w:p>
    <w:p w:rsidR="00CB240B" w:rsidRDefault="00CB240B" w:rsidP="00CB240B">
      <w:r>
        <w:t>•</w:t>
      </w:r>
      <w:r>
        <w:tab/>
        <w:t>Stephen Watkins, ‘William Davenant’s Commonwealth dramas as sites of conflict</w:t>
      </w:r>
    </w:p>
    <w:p w:rsidR="00CB240B" w:rsidRDefault="00CB240B" w:rsidP="00CB240B">
      <w:pPr>
        <w:ind w:left="720" w:hanging="720"/>
      </w:pPr>
      <w:r>
        <w:t>•</w:t>
      </w:r>
      <w:r>
        <w:tab/>
        <w:t xml:space="preserve">Cheryl Butler, Eastleigh Borough Council, ‘The representation of the Agincourt campaign </w:t>
      </w:r>
      <w:r>
        <w:t>f</w:t>
      </w:r>
      <w:r>
        <w:t>rom Shakespeare to contemporary theatre’ (presentation on the first stages of a Heritage Lottery Fund supported project)</w:t>
      </w:r>
    </w:p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1245-1400</w:t>
      </w:r>
      <w:r w:rsidRPr="00CB240B">
        <w:rPr>
          <w:b/>
          <w:bCs/>
        </w:rPr>
        <w:tab/>
        <w:t>Lunch (own arrangements)</w:t>
      </w:r>
    </w:p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1400-1500</w:t>
      </w:r>
      <w:r w:rsidRPr="00CB240B">
        <w:rPr>
          <w:b/>
          <w:bCs/>
        </w:rPr>
        <w:tab/>
      </w:r>
    </w:p>
    <w:p w:rsidR="00CB240B" w:rsidRDefault="00CB240B" w:rsidP="00CB240B">
      <w:pPr>
        <w:ind w:left="720" w:hanging="720"/>
      </w:pPr>
      <w:r>
        <w:t>•</w:t>
      </w:r>
      <w:r>
        <w:tab/>
      </w:r>
      <w:proofErr w:type="spellStart"/>
      <w:r>
        <w:t>Valérie</w:t>
      </w:r>
      <w:proofErr w:type="spellEnd"/>
      <w:r>
        <w:t xml:space="preserve"> </w:t>
      </w:r>
      <w:proofErr w:type="spellStart"/>
      <w:r>
        <w:t>Toureille</w:t>
      </w:r>
      <w:proofErr w:type="spellEnd"/>
      <w:r>
        <w:t xml:space="preserve">,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Cergy-Pontoise</w:t>
      </w:r>
      <w:proofErr w:type="spellEnd"/>
      <w:r>
        <w:t>, ‘The aftermath of Agincourt and French resistance’</w:t>
      </w:r>
    </w:p>
    <w:p w:rsidR="00CB240B" w:rsidRPr="00CB240B" w:rsidRDefault="00CB240B" w:rsidP="00CB240B">
      <w:pPr>
        <w:rPr>
          <w:b/>
          <w:bCs/>
        </w:rPr>
      </w:pPr>
      <w:r w:rsidRPr="00CB240B">
        <w:rPr>
          <w:b/>
          <w:bCs/>
        </w:rPr>
        <w:t>1500-1515</w:t>
      </w:r>
      <w:r w:rsidRPr="00CB240B">
        <w:rPr>
          <w:b/>
          <w:bCs/>
        </w:rPr>
        <w:tab/>
        <w:t>Coffee</w:t>
      </w:r>
    </w:p>
    <w:p w:rsidR="00CB240B" w:rsidRDefault="00CB240B" w:rsidP="00CB240B">
      <w:r w:rsidRPr="00CB240B">
        <w:rPr>
          <w:b/>
          <w:bCs/>
        </w:rPr>
        <w:t>1515-1645</w:t>
      </w:r>
      <w:r w:rsidRPr="00CB240B">
        <w:rPr>
          <w:b/>
          <w:bCs/>
        </w:rPr>
        <w:tab/>
      </w:r>
    </w:p>
    <w:p w:rsidR="00CB240B" w:rsidRDefault="00CB240B" w:rsidP="00CB240B">
      <w:r>
        <w:t>•</w:t>
      </w:r>
      <w:r>
        <w:tab/>
      </w:r>
      <w:proofErr w:type="spellStart"/>
      <w:r>
        <w:t>Aleksandr</w:t>
      </w:r>
      <w:proofErr w:type="spellEnd"/>
      <w:r>
        <w:t xml:space="preserve"> </w:t>
      </w:r>
      <w:proofErr w:type="spellStart"/>
      <w:r>
        <w:t>Lobanov</w:t>
      </w:r>
      <w:proofErr w:type="spellEnd"/>
      <w:r>
        <w:t>, ‘Personal conflicts and joint warfare: the Anglo-</w:t>
      </w:r>
      <w:proofErr w:type="spellStart"/>
      <w:r>
        <w:t>Burgundians</w:t>
      </w:r>
      <w:proofErr w:type="spellEnd"/>
      <w:r>
        <w:t>, 1420-1435’</w:t>
      </w:r>
    </w:p>
    <w:p w:rsidR="00CB240B" w:rsidRDefault="00CB240B" w:rsidP="00CB240B">
      <w:r>
        <w:t>•</w:t>
      </w:r>
      <w:r>
        <w:tab/>
        <w:t>Dan Spencer, ‘The provision of artillery for the 1428 expedition to France’</w:t>
      </w:r>
    </w:p>
    <w:p w:rsidR="00CB240B" w:rsidRDefault="00CB240B" w:rsidP="00CB240B">
      <w:r>
        <w:t>•</w:t>
      </w:r>
      <w:r>
        <w:tab/>
        <w:t xml:space="preserve">Mark </w:t>
      </w:r>
      <w:proofErr w:type="spellStart"/>
      <w:r>
        <w:t>Stoyle</w:t>
      </w:r>
      <w:proofErr w:type="spellEnd"/>
      <w:r>
        <w:t>, ‘Cross-dressing in the English Civil War’</w:t>
      </w:r>
    </w:p>
    <w:p w:rsidR="00CB240B" w:rsidRDefault="00CB240B" w:rsidP="00CB240B">
      <w:r>
        <w:t>1645</w:t>
      </w:r>
      <w:r>
        <w:tab/>
        <w:t xml:space="preserve">Chris </w:t>
      </w:r>
      <w:proofErr w:type="spellStart"/>
      <w:r>
        <w:t>Woolgar</w:t>
      </w:r>
      <w:proofErr w:type="spellEnd"/>
      <w:r>
        <w:t>, Summing up</w:t>
      </w:r>
    </w:p>
    <w:p w:rsidR="00CB240B" w:rsidRPr="00CB240B" w:rsidRDefault="00CB240B" w:rsidP="00CB240B">
      <w:r>
        <w:t>The day will conclude around 1700 hours.</w:t>
      </w:r>
    </w:p>
    <w:sectPr w:rsidR="00CB240B" w:rsidRPr="00CB240B" w:rsidSect="00CB240B">
      <w:headerReference w:type="default" r:id="rId8"/>
      <w:pgSz w:w="11906" w:h="16838"/>
      <w:pgMar w:top="216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5E" w:rsidRDefault="0001565E" w:rsidP="0001565E">
      <w:pPr>
        <w:spacing w:after="0" w:line="240" w:lineRule="auto"/>
      </w:pPr>
      <w:r>
        <w:separator/>
      </w:r>
    </w:p>
  </w:endnote>
  <w:endnote w:type="continuationSeparator" w:id="0">
    <w:p w:rsidR="0001565E" w:rsidRDefault="0001565E" w:rsidP="0001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5E" w:rsidRDefault="0001565E" w:rsidP="0001565E">
      <w:pPr>
        <w:spacing w:after="0" w:line="240" w:lineRule="auto"/>
      </w:pPr>
      <w:r>
        <w:separator/>
      </w:r>
    </w:p>
  </w:footnote>
  <w:footnote w:type="continuationSeparator" w:id="0">
    <w:p w:rsidR="0001565E" w:rsidRDefault="0001565E" w:rsidP="0001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5E" w:rsidRDefault="0001565E" w:rsidP="0001565E">
    <w:pPr>
      <w:pStyle w:val="Header"/>
      <w:tabs>
        <w:tab w:val="left" w:pos="465"/>
      </w:tabs>
    </w:pPr>
    <w:r>
      <w:tab/>
    </w:r>
    <w:r>
      <w:rPr>
        <w:rFonts w:ascii="Verdana" w:hAnsi="Verdana"/>
        <w:noProof/>
        <w:color w:val="000000"/>
      </w:rPr>
      <w:drawing>
        <wp:inline distT="0" distB="0" distL="0" distR="0" wp14:anchorId="1783F384" wp14:editId="3C21DE4E">
          <wp:extent cx="2026433" cy="866775"/>
          <wp:effectExtent l="0" t="0" r="0" b="0"/>
          <wp:docPr id="3" name="imgPreview" descr="https://dams.soton.ac.uk/MediaBin/PreviewImage.asp?type=5&amp;repoid=%7b54152D0B-684B-4B53-997A-00D3D593E71B%7d&amp;version=0&amp;layer=-1&amp;md=2-7-20131-38-27PM&amp;validate=USMWRNUZQ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Preview" descr="https://dams.soton.ac.uk/MediaBin/PreviewImage.asp?type=5&amp;repoid=%7b54152D0B-684B-4B53-997A-00D3D593E71B%7d&amp;version=0&amp;layer=-1&amp;md=2-7-20131-38-27PM&amp;validate=USMWRNUZQ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3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A5A1785" wp14:editId="6D454A91">
          <wp:extent cx="1981200" cy="428625"/>
          <wp:effectExtent l="0" t="0" r="0" b="9525"/>
          <wp:docPr id="1" name="Picture 1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712"/>
    <w:multiLevelType w:val="hybridMultilevel"/>
    <w:tmpl w:val="BD6C58CC"/>
    <w:lvl w:ilvl="0" w:tplc="0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41767E54"/>
    <w:multiLevelType w:val="hybridMultilevel"/>
    <w:tmpl w:val="3B36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24970"/>
    <w:multiLevelType w:val="hybridMultilevel"/>
    <w:tmpl w:val="363C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04ED0"/>
    <w:multiLevelType w:val="hybridMultilevel"/>
    <w:tmpl w:val="7FAC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A1810"/>
    <w:multiLevelType w:val="hybridMultilevel"/>
    <w:tmpl w:val="931C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1"/>
    <w:rsid w:val="0001565E"/>
    <w:rsid w:val="0021111C"/>
    <w:rsid w:val="00230F44"/>
    <w:rsid w:val="00294536"/>
    <w:rsid w:val="00477A91"/>
    <w:rsid w:val="007C7A4E"/>
    <w:rsid w:val="009A55BB"/>
    <w:rsid w:val="00AD0D05"/>
    <w:rsid w:val="00CA1E20"/>
    <w:rsid w:val="00CB240B"/>
    <w:rsid w:val="00E96CDA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5E"/>
  </w:style>
  <w:style w:type="paragraph" w:styleId="Footer">
    <w:name w:val="footer"/>
    <w:basedOn w:val="Normal"/>
    <w:link w:val="FooterChar"/>
    <w:uiPriority w:val="99"/>
    <w:unhideWhenUsed/>
    <w:rsid w:val="0001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5E"/>
  </w:style>
  <w:style w:type="paragraph" w:styleId="BalloonText">
    <w:name w:val="Balloon Text"/>
    <w:basedOn w:val="Normal"/>
    <w:link w:val="BalloonTextChar"/>
    <w:uiPriority w:val="99"/>
    <w:semiHidden/>
    <w:unhideWhenUsed/>
    <w:rsid w:val="0001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5E"/>
  </w:style>
  <w:style w:type="paragraph" w:styleId="Footer">
    <w:name w:val="footer"/>
    <w:basedOn w:val="Normal"/>
    <w:link w:val="FooterChar"/>
    <w:uiPriority w:val="99"/>
    <w:unhideWhenUsed/>
    <w:rsid w:val="0001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5E"/>
  </w:style>
  <w:style w:type="paragraph" w:styleId="BalloonText">
    <w:name w:val="Balloon Text"/>
    <w:basedOn w:val="Normal"/>
    <w:link w:val="BalloonTextChar"/>
    <w:uiPriority w:val="99"/>
    <w:semiHidden/>
    <w:unhideWhenUsed/>
    <w:rsid w:val="0001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Woolgar C.M.</dc:creator>
  <cp:lastModifiedBy>Rood L.J.</cp:lastModifiedBy>
  <cp:revision>3</cp:revision>
  <cp:lastPrinted>2014-12-10T10:00:00Z</cp:lastPrinted>
  <dcterms:created xsi:type="dcterms:W3CDTF">2014-12-16T13:22:00Z</dcterms:created>
  <dcterms:modified xsi:type="dcterms:W3CDTF">2014-12-16T13:33:00Z</dcterms:modified>
</cp:coreProperties>
</file>